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b w:val="1"/>
          <w:color w:val="299a76"/>
        </w:rPr>
      </w:pPr>
      <w:bookmarkStart w:colFirst="0" w:colLast="0" w:name="_4b8gs1bpq88t" w:id="0"/>
      <w:bookmarkEnd w:id="0"/>
      <w:r w:rsidDel="00000000" w:rsidR="00000000" w:rsidRPr="00000000">
        <w:rPr>
          <w:b w:val="1"/>
          <w:color w:val="299a76"/>
          <w:rtl w:val="0"/>
        </w:rPr>
        <w:t xml:space="preserve">Consejos para arrendadores antes de rentar un inmueble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left="720" w:firstLine="0"/>
        <w:rPr>
          <w:b w:val="1"/>
          <w:color w:val="299a76"/>
        </w:rPr>
      </w:pPr>
      <w:bookmarkStart w:colFirst="0" w:colLast="0" w:name="_1vk20ujahin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numPr>
          <w:ilvl w:val="0"/>
          <w:numId w:val="5"/>
        </w:numPr>
        <w:spacing w:after="0" w:afterAutospacing="0"/>
        <w:ind w:left="720" w:hanging="360"/>
        <w:rPr>
          <w:b w:val="1"/>
          <w:color w:val="299a76"/>
          <w:sz w:val="32"/>
          <w:szCs w:val="32"/>
        </w:rPr>
      </w:pPr>
      <w:bookmarkStart w:colFirst="0" w:colLast="0" w:name="_vft5fxbg3p1j" w:id="2"/>
      <w:bookmarkEnd w:id="2"/>
      <w:r w:rsidDel="00000000" w:rsidR="00000000" w:rsidRPr="00000000">
        <w:rPr>
          <w:b w:val="1"/>
          <w:color w:val="299a76"/>
          <w:rtl w:val="0"/>
        </w:rPr>
        <w:t xml:space="preserve">Reparaciones y mejoras esenciales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Conexiones eléctricas y chapas de las puertas en perfecto funcionamiento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Habitaciones limpias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Interior de la vivienda pintado y sin manchas en las paredes y pisos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Colocar focos en todos los sockets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Las ventanas deberán abrirse y cerrarse correctamente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Reparar filtraciones de agua en tuberías, llaves y grifos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Impermeabilizar la humedad en techo y paredes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numPr>
          <w:ilvl w:val="0"/>
          <w:numId w:val="5"/>
        </w:numPr>
        <w:spacing w:after="0" w:afterAutospacing="0"/>
        <w:ind w:left="720" w:hanging="360"/>
        <w:jc w:val="both"/>
        <w:rPr>
          <w:b w:val="1"/>
          <w:color w:val="299a76"/>
          <w:sz w:val="32"/>
          <w:szCs w:val="32"/>
        </w:rPr>
      </w:pPr>
      <w:bookmarkStart w:colFirst="0" w:colLast="0" w:name="_eegoyej3sdcc" w:id="3"/>
      <w:bookmarkEnd w:id="3"/>
      <w:r w:rsidDel="00000000" w:rsidR="00000000" w:rsidRPr="00000000">
        <w:rPr>
          <w:b w:val="1"/>
          <w:color w:val="299a76"/>
          <w:rtl w:val="0"/>
        </w:rPr>
        <w:t xml:space="preserve">Evitar</w:t>
      </w:r>
      <w:r w:rsidDel="00000000" w:rsidR="00000000" w:rsidRPr="00000000">
        <w:rPr>
          <w:b w:val="1"/>
          <w:color w:val="299a76"/>
          <w:rtl w:val="0"/>
        </w:rPr>
        <w:t xml:space="preserve"> cláusulas abusivas en el contrat</w:t>
      </w:r>
      <w:commentRangeStart w:id="0"/>
      <w:r w:rsidDel="00000000" w:rsidR="00000000" w:rsidRPr="00000000">
        <w:rPr>
          <w:b w:val="1"/>
          <w:color w:val="299a76"/>
          <w:rtl w:val="0"/>
        </w:rPr>
        <w:t xml:space="preserve">o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color w:val="299a76"/>
          <w:rtl w:val="0"/>
        </w:rPr>
        <w:t xml:space="preserve"> de arrendamiento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Establecer que la propiedad se entregue en buenas condiciones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Determinar quién cubrirá los gastos de reparaciones y mejoras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tener libre acceso a la propiedad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Hacerse cargo de los vicios ocultos de la vivienda</w:t>
      </w:r>
    </w:p>
    <w:p w:rsidR="00000000" w:rsidDel="00000000" w:rsidP="00000000" w:rsidRDefault="00000000" w:rsidRPr="00000000" w14:paraId="00000011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numPr>
          <w:ilvl w:val="0"/>
          <w:numId w:val="5"/>
        </w:numPr>
        <w:spacing w:after="0" w:afterAutospacing="0"/>
        <w:ind w:left="720" w:hanging="360"/>
        <w:rPr>
          <w:b w:val="1"/>
          <w:color w:val="299a76"/>
          <w:sz w:val="32"/>
          <w:szCs w:val="32"/>
        </w:rPr>
      </w:pPr>
      <w:bookmarkStart w:colFirst="0" w:colLast="0" w:name="_7cvfrga7vgms" w:id="4"/>
      <w:bookmarkEnd w:id="4"/>
      <w:r w:rsidDel="00000000" w:rsidR="00000000" w:rsidRPr="00000000">
        <w:rPr>
          <w:b w:val="1"/>
          <w:color w:val="299a76"/>
          <w:rtl w:val="0"/>
        </w:rPr>
        <w:t xml:space="preserve">Ampárate</w:t>
      </w:r>
      <w:r w:rsidDel="00000000" w:rsidR="00000000" w:rsidRPr="00000000">
        <w:rPr>
          <w:b w:val="1"/>
          <w:color w:val="299a76"/>
          <w:rtl w:val="0"/>
        </w:rPr>
        <w:t xml:space="preserve"> con garantías legales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Solicitar un aval, obligado solidario o fiador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numPr>
          <w:ilvl w:val="0"/>
          <w:numId w:val="5"/>
        </w:numPr>
        <w:spacing w:after="0" w:afterAutospacing="0"/>
        <w:ind w:left="720" w:hanging="360"/>
        <w:rPr>
          <w:b w:val="1"/>
          <w:color w:val="299a76"/>
          <w:sz w:val="32"/>
          <w:szCs w:val="32"/>
        </w:rPr>
      </w:pPr>
      <w:bookmarkStart w:colFirst="0" w:colLast="0" w:name="_ps3ucfcye9s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5"/>
        </w:numPr>
        <w:spacing w:after="0" w:afterAutospacing="0" w:before="0" w:beforeAutospacing="0"/>
        <w:ind w:left="720" w:hanging="360"/>
        <w:rPr>
          <w:b w:val="1"/>
          <w:color w:val="299a76"/>
          <w:sz w:val="32"/>
          <w:szCs w:val="32"/>
        </w:rPr>
      </w:pPr>
      <w:bookmarkStart w:colFirst="0" w:colLast="0" w:name="_8i6o1sp0z2eb" w:id="6"/>
      <w:bookmarkEnd w:id="6"/>
      <w:r w:rsidDel="00000000" w:rsidR="00000000" w:rsidRPr="00000000">
        <w:rPr>
          <w:b w:val="1"/>
          <w:color w:val="299a76"/>
          <w:rtl w:val="0"/>
        </w:rPr>
        <w:t xml:space="preserve">Mantén tus papeles y pagos en regla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Pago del predial, agua y energía eléctrica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Documentación oficial: escrituras, pago del crédito vigente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Documentación personal: identificación oficial, RFC con homoclave, etc.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Pago de impuestos y registro ante el SAT</w:t>
      </w:r>
    </w:p>
    <w:p w:rsidR="00000000" w:rsidDel="00000000" w:rsidP="00000000" w:rsidRDefault="00000000" w:rsidRPr="00000000" w14:paraId="0000001D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numPr>
          <w:ilvl w:val="0"/>
          <w:numId w:val="5"/>
        </w:numPr>
        <w:spacing w:after="0" w:afterAutospacing="0"/>
        <w:ind w:left="720" w:hanging="360"/>
        <w:rPr>
          <w:b w:val="1"/>
          <w:color w:val="299a76"/>
          <w:sz w:val="32"/>
          <w:szCs w:val="32"/>
        </w:rPr>
      </w:pPr>
      <w:bookmarkStart w:colFirst="0" w:colLast="0" w:name="_8uhuvatua2fe" w:id="7"/>
      <w:bookmarkEnd w:id="7"/>
      <w:r w:rsidDel="00000000" w:rsidR="00000000" w:rsidRPr="00000000">
        <w:rPr>
          <w:b w:val="1"/>
          <w:color w:val="299a76"/>
          <w:rtl w:val="0"/>
        </w:rPr>
        <w:t xml:space="preserve">Establece una renta mensual justa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Calcula el pago mensual a partir de: ubicación, amenidades, inflación, plusvalía, etc.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Establecer cuotas de depósito de renta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Karen Villalobos" w:id="0" w:date="2022-05-09T22:51:41Z"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@maura@alturainteractive.com yo recomendaría cambiar la redacción en esta sección porque se puede entender mal, como si hubiera que entregar la propiedad en malas condiciones, etc. Más bien sería: Evitar clausulas abusivas el titulo y luego: Establecer que la propiedad se entrega en buenas condiciones, determinar quién se encarga de las reparaciones, etc...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b w:val="1"/>
        <w:color w:val="299a76"/>
        <w:sz w:val="23"/>
        <w:szCs w:val="23"/>
      </w:rPr>
    </w:pPr>
    <w:r w:rsidDel="00000000" w:rsidR="00000000" w:rsidRPr="00000000">
      <w:rPr>
        <w:rFonts w:ascii="Roboto" w:cs="Roboto" w:eastAsia="Roboto" w:hAnsi="Roboto"/>
        <w:b w:val="1"/>
        <w:color w:val="299a76"/>
        <w:sz w:val="23"/>
        <w:szCs w:val="23"/>
        <w:rtl w:val="0"/>
      </w:rPr>
      <w:t xml:space="preserve">Formato de checklist</w:t>
    </w:r>
    <w:r w:rsidDel="00000000" w:rsidR="00000000" w:rsidRPr="00000000">
      <mc:AlternateContent>
        <mc:Choice Requires="wpg"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617750" y="343450"/>
                        <a:ext cx="6793200" cy="981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0A81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240510</wp:posOffset>
              </wp:positionV>
              <wp:extent cx="5734050" cy="51435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4050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 txBox="1"/>
                    <wps:cNvPr id="4" name="Shape 4"/>
                    <wps:spPr>
                      <a:xfrm>
                        <a:off x="353075" y="167000"/>
                        <a:ext cx="7116900" cy="43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Roboto" w:cs="Roboto" w:eastAsia="Roboto" w:hAnsi="Roboto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16"/>
                              <w:vertAlign w:val="baseline"/>
                            </w:rPr>
                            <w:t xml:space="preserve">La información presentada en este documento es únicamente de carácter informativo y en ningún momento reemplaza la figura de un notario público, asesor inmobiliario o abogado especialista en alquiler. Para más información sobre la ley vigente de tu estado solicitar la ayuda de un profesional.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sp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19051</wp:posOffset>
              </wp:positionH>
              <wp:positionV relativeFrom="paragraph">
                <wp:posOffset>117318</wp:posOffset>
              </wp:positionV>
              <wp:extent cx="5731200" cy="35963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200" cy="3596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jc w:val="center"/>
      <w:rPr>
        <w:rFonts w:ascii="Roboto" w:cs="Roboto" w:eastAsia="Roboto" w:hAnsi="Roboto"/>
        <w:color w:val="299a7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276225</wp:posOffset>
          </wp:positionH>
          <wp:positionV relativeFrom="page">
            <wp:posOffset>428625</wp:posOffset>
          </wp:positionV>
          <wp:extent cx="638175" cy="513474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175" cy="5134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8975" y="-1323025"/>
                        <a:ext cx="7312842" cy="3166290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299A76"/>
                          </a:gs>
                          <a:gs pos="100000">
                            <a:srgbClr val="284268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page">
                <wp:posOffset>-23812</wp:posOffset>
              </wp:positionH>
              <wp:positionV relativeFrom="page">
                <wp:posOffset>-881062</wp:posOffset>
              </wp:positionV>
              <wp:extent cx="7639050" cy="1714500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39050" cy="171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