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Checklist de los muebles para el hogar que debes incluir en una casa amueblada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ind w:left="0" w:firstLine="0"/>
        <w:jc w:val="both"/>
        <w:rPr>
          <w:rFonts w:ascii="Poppins" w:cs="Poppins" w:eastAsia="Poppins" w:hAnsi="Poppins"/>
          <w:b w:val="1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sz w:val="26"/>
          <w:szCs w:val="26"/>
          <w:rtl w:val="0"/>
        </w:rPr>
        <w:t xml:space="preserve">Casa amueblada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Juego de sala/sillón de dos plazas/sofá cama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Comedor/mesa individual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Televisión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Refrigerador/frigobar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Estufa/parrilla eléctrica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Base de cama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Colchón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Closet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Organizadores de baño</w:t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>
          <w:rFonts w:ascii="Poppins" w:cs="Poppins" w:eastAsia="Poppins" w:hAnsi="Poppins"/>
          <w:b w:val="1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sz w:val="26"/>
          <w:szCs w:val="26"/>
          <w:rtl w:val="0"/>
        </w:rPr>
        <w:t xml:space="preserve">Casa semi amueblada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lineRule="auto"/>
        <w:ind w:left="72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Base de cama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Colchón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0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Refrigerador/frigobar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lineRule="auto"/>
        <w:ind w:left="72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Estufa/parrilla eléctrica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Checklist de los muebles para el hogar que debes incluir en una casa amueblada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5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