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Características que debe tener un terreno para construir una casa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8"/>
          <w:szCs w:val="28"/>
          <w:rtl w:val="0"/>
        </w:rPr>
        <w:t xml:space="preserve">Ubicación (zona urbanizada)</w:t>
      </w:r>
    </w:p>
    <w:p w:rsidR="00000000" w:rsidDel="00000000" w:rsidP="00000000" w:rsidRDefault="00000000" w:rsidRPr="00000000" w14:paraId="00000004">
      <w:pPr>
        <w:spacing w:line="360" w:lineRule="auto"/>
        <w:ind w:left="720" w:firstLine="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93c47d"/>
          <w:sz w:val="26"/>
          <w:szCs w:val="26"/>
          <w:rtl w:val="0"/>
        </w:rPr>
        <w:t xml:space="preserve">Se encuentran cerca del terreno: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Hospitales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Centros comerciales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Supermercados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Escuelas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Universidades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Bancos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Empresas que generen empleos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Zonas de entretenimiento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Áreas verdes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Zonas de entretenimiento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8"/>
          <w:szCs w:val="28"/>
          <w:rtl w:val="0"/>
        </w:rPr>
        <w:t xml:space="preserve">Servicios básicos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93c47d"/>
          <w:sz w:val="26"/>
          <w:szCs w:val="26"/>
          <w:rtl w:val="0"/>
        </w:rPr>
        <w:t xml:space="preserve">El terreno cuenta con: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luz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agua potable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drenaje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gas</w:t>
      </w:r>
    </w:p>
    <w:p w:rsidR="00000000" w:rsidDel="00000000" w:rsidP="00000000" w:rsidRDefault="00000000" w:rsidRPr="00000000" w14:paraId="00000016">
      <w:pPr>
        <w:spacing w:before="200" w:line="360" w:lineRule="auto"/>
        <w:ind w:left="0" w:firstLine="0"/>
        <w:rPr>
          <w:rFonts w:ascii="Poppins" w:cs="Poppins" w:eastAsia="Poppins" w:hAnsi="Poppins"/>
          <w:b w:val="1"/>
          <w:color w:val="93c47d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93c47d"/>
          <w:sz w:val="26"/>
          <w:szCs w:val="26"/>
          <w:rtl w:val="0"/>
        </w:rPr>
        <w:t xml:space="preserve">            Otros servicios a los que el terreno puede tener acceso: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internet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telefonía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televisión por cable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alumbrado público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pavimentación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Servicio de transporte público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8"/>
          <w:szCs w:val="28"/>
          <w:rtl w:val="0"/>
        </w:rPr>
        <w:t xml:space="preserve">Orientación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Revisar hacia 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dónde</w:t>
      </w: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 se orienta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8"/>
          <w:szCs w:val="28"/>
          <w:rtl w:val="0"/>
        </w:rPr>
        <w:t xml:space="preserve">Pendiente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Verificar si la pendiente es inclinada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8"/>
          <w:szCs w:val="28"/>
          <w:rtl w:val="0"/>
        </w:rPr>
        <w:t xml:space="preserve">Tipo de suelo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Revisar el tipo de suelo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Contratar a un experto para verificar el tipo de suelo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8"/>
          <w:szCs w:val="28"/>
          <w:rtl w:val="0"/>
        </w:rPr>
        <w:t xml:space="preserve">Materiales a considerar para la construcción de la vivienda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Metálicos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Concreto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Blocks de cemento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Ladrillos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Varilla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Anillos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Alambre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Barroblock (para losas)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Adhesivos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Madera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Arena y grava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