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jc w:val="center"/>
        <w:rPr>
          <w:b w:val="1"/>
          <w:color w:val="299a76"/>
        </w:rPr>
      </w:pPr>
      <w:bookmarkStart w:colFirst="0" w:colLast="0" w:name="_5a8pvqns1cz2" w:id="0"/>
      <w:bookmarkEnd w:id="0"/>
      <w:r w:rsidDel="00000000" w:rsidR="00000000" w:rsidRPr="00000000">
        <w:rPr>
          <w:b w:val="1"/>
          <w:color w:val="299a76"/>
          <w:rtl w:val="0"/>
        </w:rPr>
        <w:t xml:space="preserve">¿Cómo elegir colores para interiores de casas?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2"/>
        <w:rPr>
          <w:b w:val="1"/>
          <w:color w:val="299a76"/>
        </w:rPr>
      </w:pPr>
      <w:bookmarkStart w:colFirst="0" w:colLast="0" w:name="_jlnoq11v04eg" w:id="1"/>
      <w:bookmarkEnd w:id="1"/>
      <w:r w:rsidDel="00000000" w:rsidR="00000000" w:rsidRPr="00000000">
        <w:rPr>
          <w:b w:val="1"/>
          <w:color w:val="299a76"/>
          <w:rtl w:val="0"/>
        </w:rPr>
        <w:t xml:space="preserve">Antes de elegir el color de la vivienda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Toma en cuenta el tamaño de tu vivienda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Busca que tu hogar se mezcle con el entorno</w:t>
      </w:r>
    </w:p>
    <w:p w:rsidR="00000000" w:rsidDel="00000000" w:rsidP="00000000" w:rsidRDefault="00000000" w:rsidRPr="00000000" w14:paraId="00000005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Elige la tendencia que servirá de inspiración para el diseño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Contrasta tonos claros con oscuros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Style w:val="Heading2"/>
        <w:rPr>
          <w:b w:val="1"/>
          <w:color w:val="299a76"/>
        </w:rPr>
      </w:pPr>
      <w:bookmarkStart w:colFirst="0" w:colLast="0" w:name="_wyh0wkhanp7s" w:id="2"/>
      <w:bookmarkEnd w:id="2"/>
      <w:r w:rsidDel="00000000" w:rsidR="00000000" w:rsidRPr="00000000">
        <w:rPr>
          <w:b w:val="1"/>
          <w:color w:val="299a76"/>
          <w:rtl w:val="0"/>
        </w:rPr>
        <w:t xml:space="preserve">Elegir un tono claro como base</w:t>
      </w:r>
    </w:p>
    <w:p w:rsidR="00000000" w:rsidDel="00000000" w:rsidP="00000000" w:rsidRDefault="00000000" w:rsidRPr="00000000" w14:paraId="00000008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Blanco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Beige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Mármol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Rosa pálido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Gris claro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Verde menta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rPr>
          <w:b w:val="1"/>
          <w:color w:val="299a76"/>
        </w:rPr>
      </w:pPr>
      <w:bookmarkStart w:colFirst="0" w:colLast="0" w:name="_a32fo1m35nsi" w:id="3"/>
      <w:bookmarkEnd w:id="3"/>
      <w:r w:rsidDel="00000000" w:rsidR="00000000" w:rsidRPr="00000000">
        <w:rPr>
          <w:b w:val="1"/>
          <w:color w:val="299a76"/>
          <w:rtl w:val="0"/>
        </w:rPr>
        <w:t xml:space="preserve">Contrastar con un tono oscuro</w:t>
      </w:r>
    </w:p>
    <w:p w:rsidR="00000000" w:rsidDel="00000000" w:rsidP="00000000" w:rsidRDefault="00000000" w:rsidRPr="00000000" w14:paraId="0000000F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Gris mineral</w:t>
      </w:r>
    </w:p>
    <w:p w:rsidR="00000000" w:rsidDel="00000000" w:rsidP="00000000" w:rsidRDefault="00000000" w:rsidRPr="00000000" w14:paraId="00000010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Azul marino</w:t>
      </w:r>
    </w:p>
    <w:p w:rsidR="00000000" w:rsidDel="00000000" w:rsidP="00000000" w:rsidRDefault="00000000" w:rsidRPr="00000000" w14:paraId="00000011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Vino</w:t>
      </w:r>
    </w:p>
    <w:p w:rsidR="00000000" w:rsidDel="00000000" w:rsidP="00000000" w:rsidRDefault="00000000" w:rsidRPr="00000000" w14:paraId="00000012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Mostaza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Verde lima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Salmón</w:t>
      </w:r>
    </w:p>
    <w:p w:rsidR="00000000" w:rsidDel="00000000" w:rsidP="00000000" w:rsidRDefault="00000000" w:rsidRPr="00000000" w14:paraId="00000015">
      <w:pPr>
        <w:pStyle w:val="Heading2"/>
        <w:rPr>
          <w:b w:val="1"/>
          <w:color w:val="299a76"/>
        </w:rPr>
      </w:pPr>
      <w:bookmarkStart w:colFirst="0" w:colLast="0" w:name="_p7m89t9b6eg8" w:id="4"/>
      <w:bookmarkEnd w:id="4"/>
      <w:r w:rsidDel="00000000" w:rsidR="00000000" w:rsidRPr="00000000">
        <w:rPr>
          <w:b w:val="1"/>
          <w:color w:val="299a76"/>
          <w:rtl w:val="0"/>
        </w:rPr>
        <w:t xml:space="preserve">Elementos adicionales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Coloca cuadros que no compitan con los tonos de las paredes</w:t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Pon objetos decorativos que contrasten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ind w:left="720" w:hanging="360"/>
        <w:rPr>
          <w:sz w:val="26"/>
          <w:szCs w:val="26"/>
        </w:rPr>
      </w:pPr>
      <w:r w:rsidDel="00000000" w:rsidR="00000000" w:rsidRPr="00000000">
        <w:rPr>
          <w:sz w:val="26"/>
          <w:szCs w:val="26"/>
          <w:rtl w:val="0"/>
        </w:rPr>
        <w:t xml:space="preserve">Incorpora elementos que referencian el entorno natural del inmueble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Fonts w:ascii="Roboto" w:cs="Roboto" w:eastAsia="Roboto" w:hAnsi="Roboto"/>
        <w:b w:val="1"/>
        <w:color w:val="299a76"/>
        <w:sz w:val="23"/>
        <w:szCs w:val="23"/>
        <w:rtl w:val="0"/>
      </w:rPr>
      <w:t xml:space="preserve">Formato de checklist</w:t>
    </w:r>
    <w:r w:rsidDel="00000000" w:rsidR="00000000" w:rsidRPr="00000000">
      <mc:AlternateContent>
        <mc:Choice Requires="wpg"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315882</wp:posOffset>
              </wp:positionV>
              <wp:extent cx="5734050" cy="51435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617750" y="343450"/>
                        <a:ext cx="6793200" cy="98100"/>
                      </a:xfrm>
                      <a:prstGeom prst="rec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0A815B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114300" distT="11430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315882</wp:posOffset>
              </wp:positionV>
              <wp:extent cx="5734050" cy="514350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4050" cy="51435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B">
    <w:pPr>
      <w:jc w:val="center"/>
      <w:rPr>
        <w:rFonts w:ascii="Roboto" w:cs="Roboto" w:eastAsia="Roboto" w:hAnsi="Roboto"/>
        <w:b w:val="1"/>
        <w:color w:val="299a76"/>
        <w:sz w:val="23"/>
        <w:szCs w:val="23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"/>
              <a:graphic>
                <a:graphicData uri="http://schemas.microsoft.com/office/word/2010/wordprocessingShape">
                  <wps:wsp>
                    <wps:cNvSpPr txBox="1"/>
                    <wps:cNvPr id="3" name="Shape 3"/>
                    <wps:spPr>
                      <a:xfrm>
                        <a:off x="353075" y="167000"/>
                        <a:ext cx="7116900" cy="431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Roboto" w:cs="Roboto" w:eastAsia="Roboto" w:hAnsi="Roboto"/>
                              <w:b w:val="0"/>
                              <w:i w:val="0"/>
                              <w:smallCaps w:val="0"/>
                              <w:strike w:val="0"/>
                              <w:color w:val="ffffff"/>
                              <w:sz w:val="16"/>
                              <w:vertAlign w:val="baseline"/>
                            </w:rPr>
                            <w:t xml:space="preserve">La información presentada en este documento es únicamente de carácter informativo y en ningún momento reemplaza la figura de un notario público, asesor inmobiliario o abogado especialista en alquiler. Para más información sobre la ley vigente de tu estado solicitar la ayuda de un profesional.</w:t>
                          </w:r>
                        </w:p>
                      </w:txbxContent>
                    </wps:txbx>
                    <wps:bodyPr anchorCtr="0" anchor="t" bIns="91425" lIns="91425" spcFirstLastPara="1" rIns="91425" wrap="square" tIns="91425">
                      <a:sp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114300</wp:posOffset>
              </wp:positionH>
              <wp:positionV relativeFrom="paragraph">
                <wp:posOffset>117318</wp:posOffset>
              </wp:positionV>
              <wp:extent cx="5731200" cy="359635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731200" cy="3596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rPr/>
    </w:pPr>
    <w:r w:rsidDel="00000000" w:rsidR="00000000" w:rsidRPr="00000000">
      <w:rPr/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8100</wp:posOffset>
              </wp:positionH>
              <wp:positionV relativeFrom="page">
                <wp:posOffset>-857249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3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 flipH="1">
                        <a:off x="58975" y="-1323025"/>
                        <a:ext cx="7312842" cy="3166290"/>
                      </a:xfrm>
                      <a:prstGeom prst="flowChartDocument">
                        <a:avLst/>
                      </a:prstGeom>
                      <a:gradFill>
                        <a:gsLst>
                          <a:gs pos="0">
                            <a:srgbClr val="299A76"/>
                          </a:gs>
                          <a:gs pos="100000">
                            <a:srgbClr val="284268"/>
                          </a:gs>
                        </a:gsLst>
                        <a:lin ang="0" scaled="0"/>
                      </a:gra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page">
                <wp:posOffset>8100</wp:posOffset>
              </wp:positionH>
              <wp:positionV relativeFrom="page">
                <wp:posOffset>-857249</wp:posOffset>
              </wp:positionV>
              <wp:extent cx="7639050" cy="1714500"/>
              <wp:effectExtent b="0" l="0" r="0" t="0"/>
              <wp:wrapSquare wrapText="bothSides" distB="114300" distT="114300" distL="114300" distR="114300"/>
              <wp:docPr id="3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39050" cy="17145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476250</wp:posOffset>
          </wp:positionH>
          <wp:positionV relativeFrom="page">
            <wp:posOffset>460963</wp:posOffset>
          </wp:positionV>
          <wp:extent cx="638175" cy="513474"/>
          <wp:effectExtent b="0" l="0" r="0" t="0"/>
          <wp:wrapSquare wrapText="bothSides" distB="114300" distT="114300" distL="114300" distR="11430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38175" cy="513474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