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Cómo evaluar las condiciones de alquiler de vivienda al finalizar un contrato de arrendamiento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28"/>
          <w:szCs w:val="28"/>
          <w:rtl w:val="0"/>
        </w:rPr>
        <w:t xml:space="preserve">¿Qué condiciones de alquiler de vivienda debes evaluar antes de recibir tu propiedad?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Adeudos en los servicios públicos.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Estado de las instalaciones.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Daños a la propiedad.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Indicios de problemas provocados por negligencia o malos hábitos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Poppins" w:cs="Poppins" w:eastAsia="Poppins" w:hAnsi="Poppins"/>
          <w:b w:val="1"/>
          <w:color w:val="299a76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28"/>
          <w:szCs w:val="28"/>
          <w:rtl w:val="0"/>
        </w:rPr>
        <w:t xml:space="preserve">¿En qué casos el arrendatario debe hacerse responsable por daños a la propiedad?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Si el arrendatario no ha informado oportunamente de las reparaciones necesarias en tiempo y forma al arrendador.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Cuando se trate de desperfectos menores causados por aquellos que habitan la propiedad.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Cuando los daños </w:t>
      </w: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devengan</w:t>
      </w: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 de obras de remodelación, modificación o adaptación no autorizadas por el arrendador. 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