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Checklist para redactar anuncios de renta de casas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Busca la plataforma que mejor se adapte a tus necesidades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Regístrate en la plataforma inmobiliaria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Analiza las características de la vivienda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Incluye la dirección del inmueble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Desglosa los servicios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Describe los espacios de la casa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Específica el precio de renta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Específica la cuotas extras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Toma fotografías del inmueble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Incluye tus datos de contacto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Checklist para redactar anuncios de renta de casas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0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