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40"/>
          <w:szCs w:val="40"/>
          <w:rtl w:val="0"/>
        </w:rPr>
        <w:t xml:space="preserve">Servicios básicos de una vivienda: requisitos y documentos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Servicio de agua potable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Recibo de impuesto predial pagado, escrituras o contrato de compraventa notariado.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Original y copia de identificación oficial y vigente del propietario.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Original y copia del plano catastral.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Anexar carta poder y copia de identificación (en caso de que no acuda el titular).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Servicio de energía eléctrica</w:t>
      </w:r>
    </w:p>
    <w:p w:rsidR="00000000" w:rsidDel="00000000" w:rsidP="00000000" w:rsidRDefault="00000000" w:rsidRPr="00000000" w14:paraId="0000000A">
      <w:pPr>
        <w:spacing w:line="360" w:lineRule="auto"/>
        <w:ind w:left="720" w:firstLine="0"/>
        <w:rPr>
          <w:rFonts w:ascii="Poppins" w:cs="Poppins" w:eastAsia="Poppins" w:hAnsi="Poppins"/>
          <w:b w:val="1"/>
          <w:color w:val="93c47d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b w:val="1"/>
          <w:color w:val="93c47d"/>
          <w:sz w:val="26"/>
          <w:szCs w:val="26"/>
          <w:rtl w:val="0"/>
        </w:rPr>
        <w:t xml:space="preserve">Requisitos: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22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Tu propiedad debe encontrarse ubicada a una distancia de 35 metros de un poste de luz y no más de 50 metros si la propiedad se localiza en zonas rurales.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Disponer de una instalación eléctrica terminada.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Contar con una instalación o base para colocar el medidor de luz.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Conocer qué tipo de suministro eléctrico vas a contratar: monofásico o bifásico.</w:t>
      </w:r>
    </w:p>
    <w:p w:rsidR="00000000" w:rsidDel="00000000" w:rsidP="00000000" w:rsidRDefault="00000000" w:rsidRPr="00000000" w14:paraId="0000000F">
      <w:pPr>
        <w:spacing w:line="360" w:lineRule="auto"/>
        <w:ind w:left="720" w:firstLine="0"/>
        <w:rPr>
          <w:rFonts w:ascii="Poppins" w:cs="Poppins" w:eastAsia="Poppins" w:hAnsi="Poppins"/>
          <w:b w:val="1"/>
          <w:color w:val="93c47d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b w:val="1"/>
          <w:color w:val="93c47d"/>
          <w:sz w:val="26"/>
          <w:szCs w:val="26"/>
          <w:rtl w:val="0"/>
        </w:rPr>
        <w:t xml:space="preserve">Documentos: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220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Identificación oficial para corroborar razón social o propietario.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CURP y RFC con homoclave.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Dirección completa de la propiedad.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Proporcionar una dirección complementaria.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Número de teléfono del titular.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Correo electrónico del titular.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Acreditación de la propiedad (recibo predial, escritura, contrato de arrendamiento, etc.).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Acta constitutiva si eres persona moral.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Servicio de internet y telefonía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Comprobante de domicilio no mayor a 3 meses.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Proporcionar la dirección para la instalación.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Entregar ficha de pago.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Servicio de gas estacionario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Investigar precios de gas en tu ciudad.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Revisar que se encuentre el tanque estacionario en excelente condiciones.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Checar que no haya fugas de gas.</w:t>
      </w:r>
    </w:p>
    <w:p w:rsidR="00000000" w:rsidDel="00000000" w:rsidP="00000000" w:rsidRDefault="00000000" w:rsidRPr="00000000" w14:paraId="00000020">
      <w:pPr>
        <w:ind w:left="72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left="720" w:firstLine="0"/>
        <w:rPr>
          <w:rFonts w:ascii="Poppins" w:cs="Poppins" w:eastAsia="Poppins" w:hAnsi="Poppins"/>
          <w:b w:val="1"/>
          <w:color w:val="93c47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220" w:line="276" w:lineRule="auto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Formato de checklist</w:t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cNvPr id="4" name="Shape 4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6">
    <w:pPr>
      <w:jc w:val="center"/>
      <w:rPr>
        <w:rFonts w:ascii="Roboto" w:cs="Roboto" w:eastAsia="Roboto" w:hAnsi="Roboto"/>
        <w:color w:val="299a76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428625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