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center"/>
        <w:rPr>
          <w:rFonts w:ascii="Poppins" w:cs="Poppins" w:eastAsia="Poppins" w:hAnsi="Poppins"/>
          <w:b w:val="1"/>
          <w:color w:val="299a76"/>
          <w:sz w:val="40"/>
          <w:szCs w:val="40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40"/>
          <w:szCs w:val="40"/>
          <w:rtl w:val="0"/>
        </w:rPr>
        <w:t xml:space="preserve">Servicios básicos de una vivienda: requisitos y documentos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>
          <w:rFonts w:ascii="Poppins" w:cs="Poppins" w:eastAsia="Poppins" w:hAnsi="Poppins"/>
          <w:b w:val="1"/>
          <w:color w:val="299a76"/>
          <w:sz w:val="40"/>
          <w:szCs w:val="4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Servicio de agua potable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Recibo de impuesto predial pagado, escrituras o contrato de compraventa notariado.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Original y copia de identificación oficial y vigente del propietario.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Original y copia del plano catastral.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Anexar carta poder y copia de identificación (en caso de que no acuda el titular).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Servicio de energía eléctrica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rPr>
          <w:rFonts w:ascii="Poppins" w:cs="Poppins" w:eastAsia="Poppins" w:hAnsi="Poppins"/>
          <w:b w:val="1"/>
          <w:color w:val="93c47d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93c47d"/>
          <w:sz w:val="26"/>
          <w:szCs w:val="26"/>
          <w:rtl w:val="0"/>
        </w:rPr>
        <w:t xml:space="preserve">Requisitos: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22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Tu propiedad debe encontrarse ubicada a una distancia de 35 metros de un poste de luz y no más de 50 metros si la propiedad se localiza en zonas rurales.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Disponer de una instalación eléctrica terminada.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Contar con una instalación o base para colocar el medidor de luz.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340" w:before="0" w:beforeAutospacing="0" w:line="276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Conocer qué tipo de suministro eléctrico vas a contratar: monofásico o bifásico.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>
          <w:rFonts w:ascii="Poppins" w:cs="Poppins" w:eastAsia="Poppins" w:hAnsi="Poppins"/>
          <w:b w:val="1"/>
          <w:color w:val="93c47d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93c47d"/>
          <w:sz w:val="26"/>
          <w:szCs w:val="26"/>
          <w:rtl w:val="0"/>
        </w:rPr>
        <w:t xml:space="preserve">Documentos: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220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Identificación oficial para corroborar razón social o propietario.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CURP y RFC con homoclave.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Dirección completa de la propiedad.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Proporcionar una dirección complementaria.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Número de teléfono del titular.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Correo electrónico del titular.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Acreditación de la propiedad (recibo predial, escritura, contrato de arrendamiento, etc.).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Acta constitutiva si eres persona moral.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Servicio de internet y telefonía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Comprobante de domicilio no mayor a 3 meses.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Proporcionar la dirección para la instalación.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Entregar ficha de pago.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60" w:lineRule="auto"/>
        <w:ind w:left="720" w:hanging="360"/>
        <w:rPr>
          <w:rFonts w:ascii="Poppins" w:cs="Poppins" w:eastAsia="Poppins" w:hAnsi="Poppins"/>
          <w:b w:val="1"/>
          <w:color w:val="299a76"/>
          <w:sz w:val="34"/>
          <w:szCs w:val="34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299a76"/>
          <w:sz w:val="34"/>
          <w:szCs w:val="34"/>
          <w:rtl w:val="0"/>
        </w:rPr>
        <w:t xml:space="preserve">Servicio de gas estacionario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1440" w:hanging="36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Investigar precios de gas en tu ciudad.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Revisar que se encuentre el tanque estacionario en excelente condiciones.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1440" w:hanging="360"/>
        <w:jc w:val="both"/>
        <w:rPr>
          <w:rFonts w:ascii="Poppins" w:cs="Poppins" w:eastAsia="Poppins" w:hAnsi="Poppins"/>
          <w:sz w:val="26"/>
          <w:szCs w:val="26"/>
          <w:u w:val="none"/>
        </w:rPr>
      </w:pPr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Checar que no haya fugas de gas.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>
          <w:rFonts w:ascii="Poppins" w:cs="Poppins" w:eastAsia="Poppins" w:hAnsi="Poppins"/>
          <w:b w:val="1"/>
          <w:color w:val="93c47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5" w:sz="0" w:val="none"/>
          <w:bottom w:color="auto" w:space="3" w:sz="0" w:val="none"/>
          <w:right w:color="auto" w:space="7" w:sz="0" w:val="none"/>
        </w:pBdr>
        <w:shd w:fill="ffffff" w:val="clear"/>
        <w:spacing w:after="340" w:before="220" w:line="276" w:lineRule="auto"/>
        <w:jc w:val="both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Roboto" w:cs="Roboto" w:eastAsia="Roboto" w:hAnsi="Roboto"/>
        <w:b w:val="1"/>
        <w:color w:val="299a76"/>
        <w:sz w:val="23"/>
        <w:szCs w:val="23"/>
      </w:rPr>
    </w:pPr>
    <w:r w:rsidDel="00000000" w:rsidR="00000000" w:rsidRPr="00000000">
      <w:rPr>
        <w:rFonts w:ascii="Roboto" w:cs="Roboto" w:eastAsia="Roboto" w:hAnsi="Roboto"/>
        <w:b w:val="1"/>
        <w:color w:val="299a76"/>
        <w:sz w:val="23"/>
        <w:szCs w:val="23"/>
        <w:rtl w:val="0"/>
      </w:rPr>
      <w:t xml:space="preserve">Formato de checklist</w:t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240510</wp:posOffset>
              </wp:positionV>
              <wp:extent cx="5734050" cy="5143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617750" y="343450"/>
                        <a:ext cx="6793200" cy="981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99A76"/>
                          </a:gs>
                          <a:gs pos="100000">
                            <a:srgbClr val="0A815B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240510</wp:posOffset>
              </wp:positionV>
              <wp:extent cx="5734050" cy="5143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117318</wp:posOffset>
              </wp:positionV>
              <wp:extent cx="5731200" cy="35963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 txBox="1"/>
                    <wps:cNvPr id="4" name="Shape 4"/>
                    <wps:spPr>
                      <a:xfrm>
                        <a:off x="353075" y="167000"/>
                        <a:ext cx="7116900" cy="43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La información presentada en este documento es únicamente de carácter informativo y en ningún momento reemplaza la figura de un notario público, asesor inmobiliario o abogado especialista en alquiler. Para más información sobre la ley vigente de tu estado solicitar la ayuda de un profesional.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117318</wp:posOffset>
              </wp:positionV>
              <wp:extent cx="5731200" cy="35963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200" cy="359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299a76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276225</wp:posOffset>
          </wp:positionH>
          <wp:positionV relativeFrom="page">
            <wp:posOffset>428625</wp:posOffset>
          </wp:positionV>
          <wp:extent cx="638175" cy="513474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5134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-23812</wp:posOffset>
              </wp:positionH>
              <wp:positionV relativeFrom="page">
                <wp:posOffset>-881062</wp:posOffset>
              </wp:positionV>
              <wp:extent cx="7639050" cy="1714500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8975" y="-1323025"/>
                        <a:ext cx="7312842" cy="316629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299A76"/>
                          </a:gs>
                          <a:gs pos="100000">
                            <a:srgbClr val="284268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-23812</wp:posOffset>
              </wp:positionH>
              <wp:positionV relativeFrom="page">
                <wp:posOffset>-881062</wp:posOffset>
              </wp:positionV>
              <wp:extent cx="7639050" cy="1714500"/>
              <wp:effectExtent b="0" l="0" r="0" t="0"/>
              <wp:wrapSquare wrapText="bothSides" distB="114300" distT="11430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